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341340" w:rsidP="00DF3288">
      <w:pPr>
        <w:jc w:val="center"/>
        <w:rPr>
          <w:rFonts w:ascii="Albertus Extra Bold" w:hAnsi="Albertus Extra Bold"/>
          <w:b/>
          <w:sz w:val="40"/>
          <w:szCs w:val="40"/>
        </w:rPr>
      </w:pPr>
      <w:r w:rsidRPr="00341340">
        <w:pict>
          <v:shapetype id="_x0000_t202" coordsize="21600,21600" o:spt="202" path="m,l,21600r21600,l21600,xe">
            <v:stroke joinstyle="miter"/>
            <v:path gradientshapeok="t" o:connecttype="rect"/>
          </v:shapetype>
          <v:shape id="_x0000_s1027" type="#_x0000_t202" style="position:absolute;left:0;text-align:left;margin-left:392.65pt;margin-top:1.25pt;width:124.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Pr="00341340">
        <w:pict>
          <v:shape id="_x0000_s1026" type="#_x0000_t202" style="position:absolute;left:0;text-align:left;margin-left:-58.5pt;margin-top:-7.1pt;width:95.35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D0155F" w:rsidRDefault="00D0155F" w:rsidP="00D0155F">
      <w:pPr>
        <w:ind w:left="360" w:right="81"/>
        <w:rPr>
          <w:rFonts w:ascii="Verdana" w:hAnsi="Verdana"/>
          <w:b/>
          <w:sz w:val="21"/>
          <w:szCs w:val="21"/>
        </w:rPr>
      </w:pPr>
    </w:p>
    <w:p w:rsidR="00DF3288" w:rsidRDefault="00DF3288" w:rsidP="00DF3288">
      <w:pPr>
        <w:ind w:right="81"/>
        <w:rPr>
          <w:rFonts w:ascii="Verdana" w:hAnsi="Verdana"/>
          <w:b/>
          <w:sz w:val="21"/>
          <w:szCs w:val="21"/>
        </w:rPr>
      </w:pPr>
      <w:r>
        <w:rPr>
          <w:rFonts w:ascii="Verdana" w:hAnsi="Verdana"/>
          <w:b/>
          <w:sz w:val="21"/>
          <w:szCs w:val="21"/>
        </w:rPr>
        <w:t>Circular No. 2</w:t>
      </w:r>
      <w:r w:rsidR="00CF2E71">
        <w:rPr>
          <w:rFonts w:ascii="Verdana" w:hAnsi="Verdana"/>
          <w:b/>
          <w:sz w:val="21"/>
          <w:szCs w:val="21"/>
        </w:rPr>
        <w:t>A</w:t>
      </w:r>
      <w:r>
        <w:rPr>
          <w:rFonts w:ascii="Verdana" w:hAnsi="Verdana"/>
          <w:b/>
          <w:sz w:val="21"/>
          <w:szCs w:val="21"/>
        </w:rPr>
        <w:t xml:space="preserve"> of 2017-20                                         Dated 11</w:t>
      </w:r>
      <w:r w:rsidRPr="00DF3288">
        <w:rPr>
          <w:rFonts w:ascii="Verdana" w:hAnsi="Verdana"/>
          <w:b/>
          <w:sz w:val="21"/>
          <w:szCs w:val="21"/>
          <w:vertAlign w:val="superscript"/>
        </w:rPr>
        <w:t>th</w:t>
      </w:r>
      <w:r>
        <w:rPr>
          <w:rFonts w:ascii="Verdana" w:hAnsi="Verdana"/>
          <w:b/>
          <w:sz w:val="21"/>
          <w:szCs w:val="21"/>
        </w:rPr>
        <w:t xml:space="preserve"> January 2018</w:t>
      </w:r>
    </w:p>
    <w:p w:rsidR="00DF3288" w:rsidRDefault="00DF3288" w:rsidP="00D0155F">
      <w:pPr>
        <w:ind w:left="360" w:right="81"/>
        <w:rPr>
          <w:rFonts w:ascii="Verdana" w:hAnsi="Verdana"/>
          <w:b/>
          <w:sz w:val="21"/>
          <w:szCs w:val="21"/>
        </w:rPr>
      </w:pPr>
    </w:p>
    <w:p w:rsidR="00DF3288" w:rsidRDefault="00DF3288" w:rsidP="00DF3288">
      <w:pPr>
        <w:ind w:right="81"/>
        <w:rPr>
          <w:rFonts w:ascii="Verdana" w:hAnsi="Verdana"/>
          <w:b/>
          <w:sz w:val="21"/>
          <w:szCs w:val="21"/>
        </w:rPr>
      </w:pPr>
      <w:r>
        <w:rPr>
          <w:rFonts w:ascii="Verdana" w:hAnsi="Verdana"/>
          <w:b/>
          <w:sz w:val="21"/>
          <w:szCs w:val="21"/>
        </w:rPr>
        <w:t>Dear Members,</w:t>
      </w:r>
    </w:p>
    <w:p w:rsidR="00DF3288" w:rsidRDefault="00DF3288" w:rsidP="00DF3288">
      <w:pPr>
        <w:ind w:right="81"/>
        <w:rPr>
          <w:rFonts w:ascii="Verdana" w:hAnsi="Verdana"/>
          <w:b/>
          <w:sz w:val="21"/>
          <w:szCs w:val="21"/>
        </w:rPr>
      </w:pPr>
    </w:p>
    <w:p w:rsidR="00DF3288" w:rsidRDefault="00DF3288" w:rsidP="00DF3288">
      <w:pPr>
        <w:ind w:left="1440" w:right="81"/>
        <w:rPr>
          <w:rFonts w:ascii="Verdana" w:hAnsi="Verdana"/>
          <w:b/>
          <w:szCs w:val="24"/>
        </w:rPr>
      </w:pPr>
      <w:r>
        <w:rPr>
          <w:rFonts w:ascii="Verdana" w:hAnsi="Verdana"/>
          <w:b/>
          <w:szCs w:val="24"/>
        </w:rPr>
        <w:t xml:space="preserve">Implementation of Para 12 of 1993 settlement on   </w:t>
      </w:r>
      <w:proofErr w:type="gramStart"/>
      <w:r>
        <w:rPr>
          <w:rFonts w:ascii="Verdana" w:hAnsi="Verdana"/>
          <w:b/>
          <w:szCs w:val="24"/>
        </w:rPr>
        <w:t>Pension  Scheme</w:t>
      </w:r>
      <w:proofErr w:type="gramEnd"/>
      <w:r>
        <w:rPr>
          <w:rFonts w:ascii="Verdana" w:hAnsi="Verdana"/>
          <w:b/>
          <w:szCs w:val="24"/>
        </w:rPr>
        <w:t>.</w:t>
      </w:r>
    </w:p>
    <w:p w:rsidR="00DF3288" w:rsidRDefault="00DF3288" w:rsidP="00D0155F">
      <w:pPr>
        <w:ind w:left="360" w:right="81"/>
        <w:rPr>
          <w:rFonts w:ascii="Verdana" w:hAnsi="Verdana"/>
          <w:b/>
          <w:sz w:val="21"/>
          <w:szCs w:val="21"/>
        </w:rPr>
      </w:pPr>
    </w:p>
    <w:p w:rsidR="00D0155F" w:rsidRDefault="00D0155F" w:rsidP="00DF3288">
      <w:pPr>
        <w:ind w:right="81"/>
        <w:jc w:val="both"/>
        <w:rPr>
          <w:rFonts w:ascii="Verdana" w:hAnsi="Verdana"/>
          <w:b/>
          <w:sz w:val="21"/>
          <w:szCs w:val="21"/>
        </w:rPr>
      </w:pPr>
      <w:r>
        <w:rPr>
          <w:rFonts w:ascii="Verdana" w:hAnsi="Verdana"/>
          <w:b/>
          <w:sz w:val="21"/>
          <w:szCs w:val="21"/>
        </w:rPr>
        <w:t>We give below text of letter No. 2018/</w:t>
      </w:r>
      <w:proofErr w:type="gramStart"/>
      <w:r>
        <w:rPr>
          <w:rFonts w:ascii="Verdana" w:hAnsi="Verdana"/>
          <w:b/>
          <w:sz w:val="21"/>
          <w:szCs w:val="21"/>
        </w:rPr>
        <w:t>006  dated</w:t>
      </w:r>
      <w:proofErr w:type="gramEnd"/>
      <w:r>
        <w:rPr>
          <w:rFonts w:ascii="Verdana" w:hAnsi="Verdana"/>
          <w:b/>
          <w:sz w:val="21"/>
          <w:szCs w:val="21"/>
        </w:rPr>
        <w:t xml:space="preserve"> 9</w:t>
      </w:r>
      <w:r w:rsidRPr="00D0155F">
        <w:rPr>
          <w:rFonts w:ascii="Verdana" w:hAnsi="Verdana"/>
          <w:b/>
          <w:sz w:val="21"/>
          <w:szCs w:val="21"/>
          <w:vertAlign w:val="superscript"/>
        </w:rPr>
        <w:t>th</w:t>
      </w:r>
      <w:r>
        <w:rPr>
          <w:rFonts w:ascii="Verdana" w:hAnsi="Verdana"/>
          <w:b/>
          <w:sz w:val="21"/>
          <w:szCs w:val="21"/>
        </w:rPr>
        <w:t xml:space="preserve"> January 2018 sent to                             </w:t>
      </w:r>
    </w:p>
    <w:p w:rsidR="00D0155F" w:rsidRDefault="00D0155F" w:rsidP="00DF3288">
      <w:pPr>
        <w:ind w:right="81"/>
        <w:jc w:val="both"/>
        <w:rPr>
          <w:rFonts w:ascii="Verdana" w:hAnsi="Verdana"/>
          <w:b/>
          <w:sz w:val="21"/>
          <w:szCs w:val="21"/>
        </w:rPr>
      </w:pPr>
      <w:r>
        <w:rPr>
          <w:rFonts w:ascii="Verdana" w:hAnsi="Verdana"/>
          <w:b/>
          <w:szCs w:val="24"/>
        </w:rPr>
        <w:t xml:space="preserve">The Chairman, Indian Banks’ Association, Mumbai sent by </w:t>
      </w:r>
      <w:proofErr w:type="spellStart"/>
      <w:r>
        <w:rPr>
          <w:rFonts w:ascii="Verdana" w:hAnsi="Verdana"/>
          <w:b/>
          <w:szCs w:val="24"/>
        </w:rPr>
        <w:t>Shri</w:t>
      </w:r>
      <w:proofErr w:type="spellEnd"/>
      <w:r>
        <w:rPr>
          <w:rFonts w:ascii="Verdana" w:hAnsi="Verdana"/>
          <w:b/>
          <w:szCs w:val="24"/>
        </w:rPr>
        <w:t xml:space="preserve"> </w:t>
      </w:r>
      <w:r>
        <w:rPr>
          <w:rFonts w:ascii="Verdana" w:hAnsi="Verdana"/>
          <w:b/>
          <w:sz w:val="21"/>
          <w:szCs w:val="21"/>
        </w:rPr>
        <w:t xml:space="preserve">S.C.JAIN, General Secretary AIBRF for information, the contents of which are self </w:t>
      </w:r>
      <w:r w:rsidR="00DF3288">
        <w:rPr>
          <w:rFonts w:ascii="Verdana" w:hAnsi="Verdana"/>
          <w:b/>
          <w:sz w:val="21"/>
          <w:szCs w:val="21"/>
        </w:rPr>
        <w:t>explicit</w:t>
      </w:r>
      <w:r>
        <w:rPr>
          <w:rFonts w:ascii="Verdana" w:hAnsi="Verdana"/>
          <w:b/>
          <w:sz w:val="21"/>
          <w:szCs w:val="21"/>
        </w:rPr>
        <w:t xml:space="preserve">. </w:t>
      </w:r>
    </w:p>
    <w:p w:rsidR="00DF3288" w:rsidRDefault="00DF3288" w:rsidP="00DF3288">
      <w:pPr>
        <w:ind w:right="81"/>
        <w:jc w:val="both"/>
        <w:rPr>
          <w:rFonts w:ascii="Verdana" w:hAnsi="Verdana"/>
          <w:b/>
          <w:sz w:val="21"/>
          <w:szCs w:val="21"/>
        </w:rPr>
      </w:pPr>
    </w:p>
    <w:p w:rsidR="00DF3288" w:rsidRDefault="00DF3288" w:rsidP="00DF3288">
      <w:pPr>
        <w:ind w:right="81"/>
        <w:jc w:val="both"/>
        <w:rPr>
          <w:rFonts w:ascii="Verdana" w:hAnsi="Verdana"/>
          <w:b/>
          <w:sz w:val="21"/>
          <w:szCs w:val="21"/>
        </w:rPr>
      </w:pPr>
      <w:r>
        <w:rPr>
          <w:rFonts w:ascii="Verdana" w:hAnsi="Verdana"/>
          <w:b/>
          <w:sz w:val="21"/>
          <w:szCs w:val="21"/>
        </w:rPr>
        <w:t>Yours sincerely,</w:t>
      </w:r>
    </w:p>
    <w:p w:rsidR="00DF3288" w:rsidRDefault="00DF3288" w:rsidP="00DF3288">
      <w:pPr>
        <w:ind w:right="81"/>
        <w:jc w:val="both"/>
        <w:rPr>
          <w:rFonts w:ascii="Verdana" w:hAnsi="Verdana"/>
          <w:b/>
          <w:sz w:val="21"/>
          <w:szCs w:val="21"/>
        </w:rPr>
      </w:pPr>
    </w:p>
    <w:p w:rsidR="00DF3288" w:rsidRDefault="00D0155F" w:rsidP="00D0155F">
      <w:pPr>
        <w:ind w:right="81"/>
        <w:rPr>
          <w:rFonts w:ascii="Verdana" w:hAnsi="Verdana"/>
          <w:b/>
          <w:sz w:val="21"/>
          <w:szCs w:val="21"/>
        </w:rPr>
      </w:pPr>
      <w:r>
        <w:rPr>
          <w:rFonts w:ascii="Verdana" w:hAnsi="Verdana"/>
          <w:b/>
          <w:sz w:val="21"/>
          <w:szCs w:val="21"/>
        </w:rPr>
        <w:t xml:space="preserve">                                                                </w:t>
      </w:r>
    </w:p>
    <w:p w:rsidR="00DF3288" w:rsidRDefault="00DF3288" w:rsidP="00D0155F">
      <w:pPr>
        <w:ind w:right="81"/>
        <w:rPr>
          <w:rFonts w:ascii="Verdana" w:hAnsi="Verdana"/>
          <w:b/>
          <w:sz w:val="21"/>
          <w:szCs w:val="21"/>
        </w:rPr>
      </w:pPr>
      <w:r>
        <w:rPr>
          <w:rFonts w:ascii="Verdana" w:hAnsi="Verdana"/>
          <w:b/>
          <w:sz w:val="21"/>
          <w:szCs w:val="21"/>
        </w:rPr>
        <w:t>(</w:t>
      </w:r>
      <w:proofErr w:type="spellStart"/>
      <w:r>
        <w:rPr>
          <w:rFonts w:ascii="Verdana" w:hAnsi="Verdana"/>
          <w:b/>
          <w:sz w:val="21"/>
          <w:szCs w:val="21"/>
        </w:rPr>
        <w:t>B.C.Bassi</w:t>
      </w:r>
      <w:proofErr w:type="spellEnd"/>
      <w:r>
        <w:rPr>
          <w:rFonts w:ascii="Verdana" w:hAnsi="Verdana"/>
          <w:b/>
          <w:sz w:val="21"/>
          <w:szCs w:val="21"/>
        </w:rPr>
        <w:t>)</w:t>
      </w:r>
    </w:p>
    <w:p w:rsidR="00D0155F" w:rsidRDefault="00D0155F" w:rsidP="00D0155F">
      <w:pPr>
        <w:ind w:right="81"/>
        <w:rPr>
          <w:rFonts w:ascii="Verdana" w:hAnsi="Verdana"/>
          <w:b/>
          <w:szCs w:val="24"/>
        </w:rPr>
      </w:pPr>
      <w:r>
        <w:rPr>
          <w:rFonts w:ascii="Verdana" w:hAnsi="Verdana"/>
          <w:b/>
          <w:sz w:val="21"/>
          <w:szCs w:val="21"/>
        </w:rPr>
        <w:t>GENERAL SECRETARY</w:t>
      </w:r>
    </w:p>
    <w:p w:rsidR="00D0155F" w:rsidRDefault="00D0155F" w:rsidP="00D0155F">
      <w:pPr>
        <w:ind w:right="81"/>
        <w:rPr>
          <w:rFonts w:ascii="Verdana" w:hAnsi="Verdana"/>
          <w:b/>
          <w:szCs w:val="24"/>
        </w:rPr>
      </w:pPr>
    </w:p>
    <w:p w:rsidR="00D0155F" w:rsidRDefault="00D0155F" w:rsidP="00D0155F">
      <w:pPr>
        <w:ind w:right="81"/>
        <w:rPr>
          <w:rFonts w:ascii="Verdana" w:hAnsi="Verdana"/>
          <w:b/>
          <w:szCs w:val="24"/>
        </w:rPr>
      </w:pPr>
    </w:p>
    <w:p w:rsidR="00D0155F" w:rsidRDefault="00D0155F" w:rsidP="00D0155F">
      <w:pPr>
        <w:ind w:right="81"/>
        <w:rPr>
          <w:rFonts w:ascii="Verdana" w:hAnsi="Verdana"/>
          <w:b/>
          <w:szCs w:val="24"/>
        </w:rPr>
      </w:pPr>
    </w:p>
    <w:p w:rsidR="00D0155F" w:rsidRDefault="00D0155F" w:rsidP="00D0155F">
      <w:pPr>
        <w:ind w:right="81"/>
        <w:rPr>
          <w:rFonts w:ascii="Verdana" w:hAnsi="Verdana"/>
          <w:b/>
          <w:szCs w:val="24"/>
        </w:rPr>
      </w:pPr>
    </w:p>
    <w:p w:rsidR="00D0155F" w:rsidRDefault="00D0155F" w:rsidP="00D0155F">
      <w:pPr>
        <w:ind w:right="81"/>
        <w:rPr>
          <w:rFonts w:ascii="Verdana" w:hAnsi="Verdana"/>
          <w:b/>
          <w:szCs w:val="24"/>
        </w:rPr>
      </w:pPr>
      <w:r>
        <w:rPr>
          <w:rFonts w:ascii="Verdana" w:hAnsi="Verdana"/>
          <w:b/>
          <w:szCs w:val="24"/>
        </w:rPr>
        <w:t xml:space="preserve">                                                                Text</w:t>
      </w:r>
    </w:p>
    <w:p w:rsidR="00D0155F" w:rsidRDefault="00D0155F" w:rsidP="00D0155F">
      <w:pPr>
        <w:ind w:right="81"/>
        <w:rPr>
          <w:rFonts w:ascii="Verdana" w:hAnsi="Verdana"/>
          <w:b/>
          <w:szCs w:val="24"/>
        </w:rPr>
      </w:pPr>
    </w:p>
    <w:p w:rsidR="00D0155F" w:rsidRDefault="00D0155F" w:rsidP="00D0155F">
      <w:pPr>
        <w:ind w:left="1440" w:right="81"/>
        <w:rPr>
          <w:rFonts w:ascii="Verdana" w:hAnsi="Verdana"/>
          <w:b/>
          <w:szCs w:val="24"/>
        </w:rPr>
      </w:pPr>
      <w:r>
        <w:rPr>
          <w:rFonts w:ascii="Verdana" w:hAnsi="Verdana"/>
          <w:b/>
          <w:szCs w:val="24"/>
        </w:rPr>
        <w:t xml:space="preserve">Re: Implementation of Para 12 of 1993 settlement on   </w:t>
      </w:r>
      <w:proofErr w:type="gramStart"/>
      <w:r>
        <w:rPr>
          <w:rFonts w:ascii="Verdana" w:hAnsi="Verdana"/>
          <w:b/>
          <w:szCs w:val="24"/>
        </w:rPr>
        <w:t>Pension  Scheme</w:t>
      </w:r>
      <w:proofErr w:type="gramEnd"/>
      <w:r>
        <w:rPr>
          <w:rFonts w:ascii="Verdana" w:hAnsi="Verdana"/>
          <w:b/>
          <w:szCs w:val="24"/>
        </w:rPr>
        <w:t>.</w:t>
      </w:r>
    </w:p>
    <w:p w:rsidR="00D0155F" w:rsidRDefault="00D0155F" w:rsidP="00D0155F">
      <w:pPr>
        <w:ind w:left="720" w:right="81" w:firstLine="180"/>
        <w:rPr>
          <w:rFonts w:ascii="Verdana" w:hAnsi="Verdana"/>
          <w:b/>
          <w:szCs w:val="24"/>
        </w:rPr>
      </w:pPr>
    </w:p>
    <w:p w:rsidR="00D0155F" w:rsidRDefault="00D0155F" w:rsidP="00D0155F">
      <w:pPr>
        <w:ind w:left="300" w:right="81"/>
        <w:jc w:val="both"/>
        <w:rPr>
          <w:rFonts w:ascii="Verdana" w:hAnsi="Verdana"/>
          <w:b/>
          <w:szCs w:val="24"/>
        </w:rPr>
      </w:pPr>
      <w:r>
        <w:rPr>
          <w:rFonts w:ascii="Verdana" w:hAnsi="Verdana"/>
          <w:b/>
          <w:szCs w:val="24"/>
        </w:rPr>
        <w:t xml:space="preserve">   </w:t>
      </w:r>
      <w:r w:rsidR="00DF3288">
        <w:rPr>
          <w:rFonts w:ascii="Verdana" w:hAnsi="Verdana"/>
          <w:b/>
          <w:szCs w:val="24"/>
        </w:rPr>
        <w:t>W</w:t>
      </w:r>
      <w:r>
        <w:rPr>
          <w:rFonts w:ascii="Verdana" w:hAnsi="Verdana"/>
          <w:b/>
          <w:szCs w:val="24"/>
        </w:rPr>
        <w:t xml:space="preserve">e wish </w:t>
      </w:r>
      <w:proofErr w:type="gramStart"/>
      <w:r>
        <w:rPr>
          <w:rFonts w:ascii="Verdana" w:hAnsi="Verdana"/>
          <w:b/>
          <w:szCs w:val="24"/>
        </w:rPr>
        <w:t>to  invite</w:t>
      </w:r>
      <w:proofErr w:type="gramEnd"/>
      <w:r>
        <w:rPr>
          <w:rFonts w:ascii="Verdana" w:hAnsi="Verdana"/>
          <w:b/>
          <w:szCs w:val="24"/>
        </w:rPr>
        <w:t xml:space="preserve"> your kind attention on Para 12 of Memorandum of Settlement dated 29.10.1993 introducing pension scheme in the banking industry which reads as under:</w:t>
      </w:r>
    </w:p>
    <w:p w:rsidR="00D0155F" w:rsidRDefault="00D0155F" w:rsidP="00D0155F">
      <w:pPr>
        <w:ind w:left="300" w:right="81"/>
        <w:jc w:val="both"/>
        <w:rPr>
          <w:rFonts w:ascii="Verdana" w:hAnsi="Verdana"/>
          <w:b/>
          <w:sz w:val="21"/>
          <w:szCs w:val="21"/>
        </w:rPr>
      </w:pP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r>
        <w:rPr>
          <w:rFonts w:ascii="Thorndale" w:hAnsi="Thorndale" w:cs="Thorndale"/>
          <w:iCs w:val="0"/>
          <w:color w:val="auto"/>
          <w:sz w:val="30"/>
          <w:szCs w:val="30"/>
          <w:lang w:val="en-US"/>
        </w:rPr>
        <w:t xml:space="preserve">“ </w:t>
      </w:r>
      <w:r>
        <w:rPr>
          <w:rFonts w:ascii="Thorndale" w:hAnsi="Thorndale" w:cs="Thorndale"/>
          <w:b/>
          <w:iCs w:val="0"/>
          <w:color w:val="auto"/>
          <w:sz w:val="28"/>
          <w:szCs w:val="28"/>
          <w:u w:val="single"/>
          <w:lang w:val="en-US"/>
        </w:rPr>
        <w:t>Provisions will be made by a scheme, to be negotiated and settled between the parties of this settlement by 31st December, 1993 for applicability, qualifying service, amounts of pension, payment of pension, commutation of pension, family pension, updating and other general conditions etc. on the lines as are in force in Reserve Bank of India.”</w:t>
      </w:r>
    </w:p>
    <w:p w:rsidR="00D0155F" w:rsidRDefault="00D0155F" w:rsidP="00D0155F">
      <w:pPr>
        <w:autoSpaceDE w:val="0"/>
        <w:autoSpaceDN w:val="0"/>
        <w:adjustRightInd w:val="0"/>
        <w:ind w:left="300"/>
        <w:jc w:val="both"/>
        <w:rPr>
          <w:rFonts w:ascii="Verdana" w:hAnsi="Verdana"/>
          <w:b/>
          <w:sz w:val="28"/>
          <w:szCs w:val="28"/>
        </w:rPr>
      </w:pPr>
    </w:p>
    <w:p w:rsidR="00D0155F" w:rsidRDefault="00D0155F" w:rsidP="00D0155F">
      <w:pPr>
        <w:autoSpaceDE w:val="0"/>
        <w:autoSpaceDN w:val="0"/>
        <w:adjustRightInd w:val="0"/>
        <w:ind w:left="300"/>
        <w:jc w:val="both"/>
        <w:rPr>
          <w:rFonts w:ascii="Verdana" w:hAnsi="Verdana"/>
          <w:b/>
          <w:szCs w:val="24"/>
        </w:rPr>
      </w:pPr>
      <w:proofErr w:type="gramStart"/>
      <w:r>
        <w:rPr>
          <w:rFonts w:ascii="Verdana" w:hAnsi="Verdana"/>
          <w:b/>
          <w:szCs w:val="24"/>
        </w:rPr>
        <w:t>2.As</w:t>
      </w:r>
      <w:proofErr w:type="gramEnd"/>
      <w:r>
        <w:rPr>
          <w:rFonts w:ascii="Verdana" w:hAnsi="Verdana"/>
          <w:b/>
          <w:szCs w:val="24"/>
        </w:rPr>
        <w:t xml:space="preserve"> per the above, it is obligatory on the part of the parties to the settlement to make suitable provisions  on various issues of the pension including on </w:t>
      </w:r>
      <w:proofErr w:type="spellStart"/>
      <w:r>
        <w:rPr>
          <w:rFonts w:ascii="Verdana" w:hAnsi="Verdana"/>
          <w:b/>
          <w:szCs w:val="24"/>
        </w:rPr>
        <w:t>Updation</w:t>
      </w:r>
      <w:proofErr w:type="spellEnd"/>
      <w:r>
        <w:rPr>
          <w:rFonts w:ascii="Verdana" w:hAnsi="Verdana"/>
          <w:b/>
          <w:szCs w:val="24"/>
        </w:rPr>
        <w:t xml:space="preserve"> aspect in the final scheme to be adopted and implemented. First part of Para 12 “ Provisions will be made by a scheme” and its last part “on the lines as are in force in Reserve Bank of India” are of mandatory nature with no discretion to the parties to the settlement to drop any one aspect covered in Para 12 of the settlement. As per the above, it is necessary to make suitable provisions for </w:t>
      </w:r>
      <w:proofErr w:type="spellStart"/>
      <w:r>
        <w:rPr>
          <w:rFonts w:ascii="Verdana" w:hAnsi="Verdana"/>
          <w:b/>
          <w:szCs w:val="24"/>
        </w:rPr>
        <w:t>Updation</w:t>
      </w:r>
      <w:proofErr w:type="spellEnd"/>
      <w:r>
        <w:rPr>
          <w:rFonts w:ascii="Verdana" w:hAnsi="Verdana"/>
          <w:b/>
          <w:szCs w:val="24"/>
        </w:rPr>
        <w:t xml:space="preserve"> on the lines of RBI and modalities of the scheme can be negotiated and finalised.</w:t>
      </w:r>
    </w:p>
    <w:p w:rsidR="00D0155F" w:rsidRDefault="00D0155F" w:rsidP="00D0155F">
      <w:pPr>
        <w:autoSpaceDE w:val="0"/>
        <w:autoSpaceDN w:val="0"/>
        <w:adjustRightInd w:val="0"/>
        <w:ind w:left="300"/>
        <w:jc w:val="both"/>
        <w:rPr>
          <w:rFonts w:ascii="Verdana" w:hAnsi="Verdana"/>
          <w:b/>
          <w:szCs w:val="24"/>
        </w:rPr>
      </w:pPr>
    </w:p>
    <w:p w:rsidR="00D0155F" w:rsidRDefault="00D0155F" w:rsidP="00D0155F">
      <w:pPr>
        <w:autoSpaceDE w:val="0"/>
        <w:autoSpaceDN w:val="0"/>
        <w:adjustRightInd w:val="0"/>
        <w:ind w:left="300"/>
        <w:jc w:val="both"/>
        <w:rPr>
          <w:rFonts w:ascii="Verdana" w:hAnsi="Verdana"/>
          <w:b/>
          <w:szCs w:val="24"/>
        </w:rPr>
      </w:pPr>
      <w:r>
        <w:rPr>
          <w:rFonts w:ascii="Verdana" w:hAnsi="Verdana"/>
          <w:b/>
          <w:szCs w:val="24"/>
        </w:rPr>
        <w:t xml:space="preserve">3. But we find that suitable provisions for </w:t>
      </w:r>
      <w:proofErr w:type="spellStart"/>
      <w:r>
        <w:rPr>
          <w:rFonts w:ascii="Verdana" w:hAnsi="Verdana"/>
          <w:b/>
          <w:szCs w:val="24"/>
        </w:rPr>
        <w:t>Updation</w:t>
      </w:r>
      <w:proofErr w:type="spellEnd"/>
      <w:r>
        <w:rPr>
          <w:rFonts w:ascii="Verdana" w:hAnsi="Verdana"/>
          <w:b/>
          <w:szCs w:val="24"/>
        </w:rPr>
        <w:t xml:space="preserve"> of pension have still not been finalised through negotiation as provided in Para 12 0f 1993 settlement even after lapse of considerable period of 22 years.</w:t>
      </w:r>
    </w:p>
    <w:p w:rsidR="00D0155F" w:rsidRDefault="00D0155F" w:rsidP="00D0155F">
      <w:pPr>
        <w:autoSpaceDE w:val="0"/>
        <w:autoSpaceDN w:val="0"/>
        <w:adjustRightInd w:val="0"/>
        <w:ind w:left="300"/>
        <w:jc w:val="both"/>
        <w:rPr>
          <w:rFonts w:ascii="Verdana" w:hAnsi="Verdana"/>
          <w:b/>
          <w:szCs w:val="24"/>
        </w:rPr>
      </w:pPr>
    </w:p>
    <w:p w:rsidR="00D0155F" w:rsidRDefault="00D0155F" w:rsidP="00D0155F">
      <w:pPr>
        <w:autoSpaceDE w:val="0"/>
        <w:autoSpaceDN w:val="0"/>
        <w:adjustRightInd w:val="0"/>
        <w:ind w:left="300"/>
        <w:jc w:val="both"/>
        <w:rPr>
          <w:rFonts w:ascii="Verdana" w:hAnsi="Verdana"/>
          <w:b/>
          <w:szCs w:val="24"/>
        </w:rPr>
      </w:pPr>
    </w:p>
    <w:p w:rsidR="00D0155F" w:rsidRDefault="00D0155F" w:rsidP="00D0155F">
      <w:pPr>
        <w:autoSpaceDE w:val="0"/>
        <w:autoSpaceDN w:val="0"/>
        <w:adjustRightInd w:val="0"/>
        <w:ind w:left="300"/>
        <w:jc w:val="both"/>
        <w:rPr>
          <w:rFonts w:ascii="Verdana" w:hAnsi="Verdana"/>
          <w:b/>
          <w:szCs w:val="24"/>
        </w:rPr>
      </w:pPr>
    </w:p>
    <w:p w:rsidR="00D0155F" w:rsidRDefault="00D0155F" w:rsidP="00D0155F">
      <w:pPr>
        <w:autoSpaceDE w:val="0"/>
        <w:autoSpaceDN w:val="0"/>
        <w:adjustRightInd w:val="0"/>
        <w:ind w:left="300"/>
        <w:jc w:val="both"/>
        <w:rPr>
          <w:rFonts w:ascii="Verdana" w:hAnsi="Verdana"/>
          <w:b/>
          <w:szCs w:val="24"/>
        </w:rPr>
      </w:pPr>
      <w:r>
        <w:rPr>
          <w:rFonts w:ascii="Verdana" w:hAnsi="Verdana"/>
          <w:b/>
          <w:szCs w:val="24"/>
        </w:rPr>
        <w:t xml:space="preserve">4. </w:t>
      </w:r>
      <w:proofErr w:type="gramStart"/>
      <w:r>
        <w:rPr>
          <w:rFonts w:ascii="Verdana" w:hAnsi="Verdana"/>
          <w:b/>
          <w:szCs w:val="24"/>
        </w:rPr>
        <w:t>In</w:t>
      </w:r>
      <w:proofErr w:type="gramEnd"/>
      <w:r>
        <w:rPr>
          <w:rFonts w:ascii="Verdana" w:hAnsi="Verdana"/>
          <w:b/>
          <w:szCs w:val="24"/>
        </w:rPr>
        <w:t xml:space="preserve"> this regard we also wish to invite your kind attention on Judgement of Punjab &amp; Haryana High Court dated 16.04.2012 on Civil Writ Petitions filed by some retirees on the issue of </w:t>
      </w:r>
      <w:proofErr w:type="spellStart"/>
      <w:r>
        <w:rPr>
          <w:rFonts w:ascii="Verdana" w:hAnsi="Verdana"/>
          <w:b/>
          <w:szCs w:val="24"/>
        </w:rPr>
        <w:t>Updation</w:t>
      </w:r>
      <w:proofErr w:type="spellEnd"/>
      <w:r>
        <w:rPr>
          <w:rFonts w:ascii="Verdana" w:hAnsi="Verdana"/>
          <w:b/>
          <w:szCs w:val="24"/>
        </w:rPr>
        <w:t xml:space="preserve"> of pension. While delivering the judgement, Honourable High Court judge has </w:t>
      </w:r>
      <w:proofErr w:type="spellStart"/>
      <w:r>
        <w:rPr>
          <w:rFonts w:ascii="Verdana" w:hAnsi="Verdana"/>
          <w:b/>
          <w:szCs w:val="24"/>
        </w:rPr>
        <w:t>mad</w:t>
      </w:r>
      <w:proofErr w:type="spellEnd"/>
      <w:r>
        <w:rPr>
          <w:rFonts w:ascii="Verdana" w:hAnsi="Verdana"/>
          <w:b/>
          <w:szCs w:val="24"/>
        </w:rPr>
        <w:t xml:space="preserve"> the following observations in Para 10 &amp; 11 which are reproduced below: </w:t>
      </w:r>
    </w:p>
    <w:p w:rsidR="00D0155F" w:rsidRDefault="00D0155F" w:rsidP="00D0155F">
      <w:pPr>
        <w:autoSpaceDE w:val="0"/>
        <w:autoSpaceDN w:val="0"/>
        <w:adjustRightInd w:val="0"/>
        <w:ind w:left="300"/>
        <w:jc w:val="both"/>
        <w:rPr>
          <w:rFonts w:ascii="Verdana" w:hAnsi="Verdana"/>
          <w:b/>
          <w:szCs w:val="24"/>
        </w:rPr>
      </w:pPr>
      <w:r>
        <w:rPr>
          <w:rFonts w:ascii="Verdana" w:hAnsi="Verdana"/>
          <w:b/>
          <w:szCs w:val="24"/>
        </w:rPr>
        <w:t xml:space="preserve">   </w:t>
      </w:r>
    </w:p>
    <w:p w:rsidR="00D0155F" w:rsidRDefault="00D0155F" w:rsidP="00D0155F">
      <w:pPr>
        <w:autoSpaceDE w:val="0"/>
        <w:autoSpaceDN w:val="0"/>
        <w:adjustRightInd w:val="0"/>
        <w:ind w:firstLine="300"/>
        <w:jc w:val="both"/>
        <w:rPr>
          <w:rFonts w:ascii="Thorndale" w:hAnsi="Thorndale" w:cs="Thorndale"/>
          <w:b/>
          <w:iCs w:val="0"/>
          <w:color w:val="auto"/>
          <w:sz w:val="28"/>
          <w:szCs w:val="28"/>
          <w:u w:val="single"/>
          <w:lang w:val="en-US"/>
        </w:rPr>
      </w:pPr>
      <w:r>
        <w:rPr>
          <w:rFonts w:ascii="Thorndale" w:hAnsi="Thorndale" w:cs="Thorndale"/>
          <w:b/>
          <w:iCs w:val="0"/>
          <w:color w:val="auto"/>
          <w:sz w:val="28"/>
          <w:szCs w:val="28"/>
          <w:u w:val="single"/>
          <w:lang w:val="en-US"/>
        </w:rPr>
        <w:t>10. “It is set out through the written statement itself that the</w:t>
      </w: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proofErr w:type="gramStart"/>
      <w:r>
        <w:rPr>
          <w:rFonts w:ascii="Thorndale" w:hAnsi="Thorndale" w:cs="Thorndale"/>
          <w:b/>
          <w:iCs w:val="0"/>
          <w:color w:val="auto"/>
          <w:sz w:val="28"/>
          <w:szCs w:val="28"/>
          <w:u w:val="single"/>
          <w:lang w:val="en-US"/>
        </w:rPr>
        <w:t>decision</w:t>
      </w:r>
      <w:proofErr w:type="gramEnd"/>
      <w:r>
        <w:rPr>
          <w:rFonts w:ascii="Thorndale" w:hAnsi="Thorndale" w:cs="Thorndale"/>
          <w:b/>
          <w:iCs w:val="0"/>
          <w:color w:val="auto"/>
          <w:sz w:val="28"/>
          <w:szCs w:val="28"/>
          <w:u w:val="single"/>
          <w:lang w:val="en-US"/>
        </w:rPr>
        <w:t xml:space="preserve"> was communicated in the year 2005, but the writ petitions came to be filed more than 3 years in CWP No.6233 of 2008 and more than 5 years later in the batch of writ petitions in CWP No.12211 of 2010. No explanation has been given in the petitions as to why the petitioners had not immediately approached this Court. I am merely stating this in the passing that the petitioners could not have come to the High Court for enforcement under Article 226 when they could have only pressed for better rights through negotiations in the manner that the settlement talks provided. It would be open for the petitioners to make the demands for parity if they are so advised and use their bargaining skills through their associations and press for the reliefs though the mechanism provided under the Industrial Disputes Act. There existed no vested right now for the petitioners to claim the benefits in the manner sought.</w:t>
      </w: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r>
        <w:rPr>
          <w:rFonts w:ascii="Thorndale" w:hAnsi="Thorndale" w:cs="Thorndale"/>
          <w:b/>
          <w:iCs w:val="0"/>
          <w:color w:val="auto"/>
          <w:sz w:val="28"/>
          <w:szCs w:val="28"/>
          <w:u w:val="single"/>
          <w:lang w:val="en-US"/>
        </w:rPr>
        <w:t>11. All the writ petitions are consequently dismissed, however, subject to the above observations.”</w:t>
      </w: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proofErr w:type="gramStart"/>
      <w:r>
        <w:rPr>
          <w:rFonts w:ascii="Thorndale" w:hAnsi="Thorndale" w:cs="Thorndale"/>
          <w:b/>
          <w:iCs w:val="0"/>
          <w:color w:val="auto"/>
          <w:sz w:val="28"/>
          <w:szCs w:val="28"/>
          <w:u w:val="single"/>
          <w:lang w:val="en-US"/>
        </w:rPr>
        <w:t>6.In</w:t>
      </w:r>
      <w:proofErr w:type="gramEnd"/>
      <w:r>
        <w:rPr>
          <w:rFonts w:ascii="Thorndale" w:hAnsi="Thorndale" w:cs="Thorndale"/>
          <w:b/>
          <w:iCs w:val="0"/>
          <w:color w:val="auto"/>
          <w:sz w:val="28"/>
          <w:szCs w:val="28"/>
          <w:u w:val="single"/>
          <w:lang w:val="en-US"/>
        </w:rPr>
        <w:t xml:space="preserve"> this regard, we also draw your attention on  your  circular No. HR&amp;IR/KU/2015-16/G2/506 dated 17.10.2015 addressed to member banks on the subject.</w:t>
      </w:r>
    </w:p>
    <w:p w:rsidR="00D0155F" w:rsidRDefault="00D0155F" w:rsidP="00D0155F">
      <w:pPr>
        <w:autoSpaceDE w:val="0"/>
        <w:autoSpaceDN w:val="0"/>
        <w:adjustRightInd w:val="0"/>
        <w:ind w:left="300"/>
        <w:jc w:val="both"/>
        <w:rPr>
          <w:rFonts w:ascii="Thorndale" w:hAnsi="Thorndale" w:cs="Thorndale"/>
          <w:b/>
          <w:iCs w:val="0"/>
          <w:color w:val="auto"/>
          <w:sz w:val="28"/>
          <w:szCs w:val="28"/>
          <w:u w:val="single"/>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proofErr w:type="gramStart"/>
      <w:r>
        <w:rPr>
          <w:rFonts w:ascii="Thorndale" w:hAnsi="Thorndale" w:cs="Thorndale"/>
          <w:b/>
          <w:iCs w:val="0"/>
          <w:color w:val="auto"/>
          <w:sz w:val="28"/>
          <w:szCs w:val="28"/>
          <w:lang w:val="en-US"/>
        </w:rPr>
        <w:t>5.The</w:t>
      </w:r>
      <w:proofErr w:type="gramEnd"/>
      <w:r>
        <w:rPr>
          <w:rFonts w:ascii="Thorndale" w:hAnsi="Thorndale" w:cs="Thorndale"/>
          <w:b/>
          <w:iCs w:val="0"/>
          <w:color w:val="auto"/>
          <w:sz w:val="28"/>
          <w:szCs w:val="28"/>
          <w:lang w:val="en-US"/>
        </w:rPr>
        <w:t xml:space="preserve"> Honorable court has observed that petitioners can press for better rights on the issue through negotiation  as provided in the settlement and the mechanism provided under Industrial Dispute Act. In Para 11 of the judgment, it is stated that disposal </w:t>
      </w:r>
      <w:proofErr w:type="gramStart"/>
      <w:r>
        <w:rPr>
          <w:rFonts w:ascii="Thorndale" w:hAnsi="Thorndale" w:cs="Thorndale"/>
          <w:b/>
          <w:iCs w:val="0"/>
          <w:color w:val="auto"/>
          <w:sz w:val="28"/>
          <w:szCs w:val="28"/>
          <w:lang w:val="en-US"/>
        </w:rPr>
        <w:t>of  writ</w:t>
      </w:r>
      <w:proofErr w:type="gramEnd"/>
      <w:r>
        <w:rPr>
          <w:rFonts w:ascii="Thorndale" w:hAnsi="Thorndale" w:cs="Thorndale"/>
          <w:b/>
          <w:iCs w:val="0"/>
          <w:color w:val="auto"/>
          <w:sz w:val="28"/>
          <w:szCs w:val="28"/>
          <w:lang w:val="en-US"/>
        </w:rPr>
        <w:t xml:space="preserve"> petitions are subject of the above observations.</w:t>
      </w: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r>
        <w:rPr>
          <w:rFonts w:ascii="Thorndale" w:hAnsi="Thorndale" w:cs="Thorndale"/>
          <w:b/>
          <w:iCs w:val="0"/>
          <w:color w:val="auto"/>
          <w:sz w:val="28"/>
          <w:szCs w:val="28"/>
          <w:lang w:val="en-US"/>
        </w:rPr>
        <w:t xml:space="preserve">6. All India Bank Retirees’ Federation </w:t>
      </w:r>
      <w:proofErr w:type="gramStart"/>
      <w:r>
        <w:rPr>
          <w:rFonts w:ascii="Thorndale" w:hAnsi="Thorndale" w:cs="Thorndale"/>
          <w:b/>
          <w:iCs w:val="0"/>
          <w:color w:val="auto"/>
          <w:sz w:val="28"/>
          <w:szCs w:val="28"/>
          <w:lang w:val="en-US"/>
        </w:rPr>
        <w:t>( AIBRF</w:t>
      </w:r>
      <w:proofErr w:type="gramEnd"/>
      <w:r>
        <w:rPr>
          <w:rFonts w:ascii="Thorndale" w:hAnsi="Thorndale" w:cs="Thorndale"/>
          <w:b/>
          <w:iCs w:val="0"/>
          <w:color w:val="auto"/>
          <w:sz w:val="28"/>
          <w:szCs w:val="28"/>
          <w:lang w:val="en-US"/>
        </w:rPr>
        <w:t xml:space="preserve">) represents more than 1.70 </w:t>
      </w:r>
      <w:proofErr w:type="spellStart"/>
      <w:r>
        <w:rPr>
          <w:rFonts w:ascii="Thorndale" w:hAnsi="Thorndale" w:cs="Thorndale"/>
          <w:b/>
          <w:iCs w:val="0"/>
          <w:color w:val="auto"/>
          <w:sz w:val="28"/>
          <w:szCs w:val="28"/>
          <w:lang w:val="en-US"/>
        </w:rPr>
        <w:t>lakhs</w:t>
      </w:r>
      <w:proofErr w:type="spellEnd"/>
      <w:r>
        <w:rPr>
          <w:rFonts w:ascii="Thorndale" w:hAnsi="Thorndale" w:cs="Thorndale"/>
          <w:b/>
          <w:iCs w:val="0"/>
          <w:color w:val="auto"/>
          <w:sz w:val="28"/>
          <w:szCs w:val="28"/>
          <w:lang w:val="en-US"/>
        </w:rPr>
        <w:t xml:space="preserve"> retirees who are members of the pension scheme as formulated as per provisions of 1993 settlement. As you are aware, AIBRF is body registered under Trade Union Act. </w:t>
      </w:r>
      <w:r>
        <w:rPr>
          <w:rFonts w:ascii="Thorndale" w:hAnsi="Thorndale" w:cs="Thorndale"/>
          <w:b/>
          <w:iCs w:val="0"/>
          <w:color w:val="auto"/>
          <w:sz w:val="28"/>
          <w:szCs w:val="28"/>
          <w:u w:val="single"/>
          <w:lang w:val="en-US"/>
        </w:rPr>
        <w:t xml:space="preserve">AIBRF and its 1.70 </w:t>
      </w:r>
      <w:proofErr w:type="spellStart"/>
      <w:r>
        <w:rPr>
          <w:rFonts w:ascii="Thorndale" w:hAnsi="Thorndale" w:cs="Thorndale"/>
          <w:b/>
          <w:iCs w:val="0"/>
          <w:color w:val="auto"/>
          <w:sz w:val="28"/>
          <w:szCs w:val="28"/>
          <w:u w:val="single"/>
          <w:lang w:val="en-US"/>
        </w:rPr>
        <w:t>lakh</w:t>
      </w:r>
      <w:proofErr w:type="spellEnd"/>
      <w:r>
        <w:rPr>
          <w:rFonts w:ascii="Thorndale" w:hAnsi="Thorndale" w:cs="Thorndale"/>
          <w:b/>
          <w:iCs w:val="0"/>
          <w:color w:val="auto"/>
          <w:sz w:val="28"/>
          <w:szCs w:val="28"/>
          <w:u w:val="single"/>
          <w:lang w:val="en-US"/>
        </w:rPr>
        <w:t xml:space="preserve"> members feel aggrieved and concern for inordinate delay in formulating provisions of </w:t>
      </w:r>
      <w:proofErr w:type="spellStart"/>
      <w:r>
        <w:rPr>
          <w:rFonts w:ascii="Thorndale" w:hAnsi="Thorndale" w:cs="Thorndale"/>
          <w:b/>
          <w:iCs w:val="0"/>
          <w:color w:val="auto"/>
          <w:sz w:val="28"/>
          <w:szCs w:val="28"/>
          <w:u w:val="single"/>
          <w:lang w:val="en-US"/>
        </w:rPr>
        <w:t>Updation</w:t>
      </w:r>
      <w:proofErr w:type="spellEnd"/>
      <w:r>
        <w:rPr>
          <w:rFonts w:ascii="Thorndale" w:hAnsi="Thorndale" w:cs="Thorndale"/>
          <w:b/>
          <w:iCs w:val="0"/>
          <w:color w:val="auto"/>
          <w:sz w:val="28"/>
          <w:szCs w:val="28"/>
          <w:u w:val="single"/>
          <w:lang w:val="en-US"/>
        </w:rPr>
        <w:t xml:space="preserve"> as provided in Para 12 of the settlement of 1993 signed and filed under provisions of Industrial Dispute Act and is legally enforceable</w:t>
      </w:r>
      <w:r>
        <w:rPr>
          <w:rFonts w:ascii="Thorndale" w:hAnsi="Thorndale" w:cs="Thorndale"/>
          <w:b/>
          <w:iCs w:val="0"/>
          <w:color w:val="auto"/>
          <w:sz w:val="28"/>
          <w:szCs w:val="28"/>
          <w:lang w:val="en-US"/>
        </w:rPr>
        <w:t>.</w:t>
      </w: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r>
        <w:rPr>
          <w:rFonts w:ascii="Thorndale" w:hAnsi="Thorndale" w:cs="Thorndale"/>
          <w:b/>
          <w:iCs w:val="0"/>
          <w:color w:val="auto"/>
          <w:sz w:val="28"/>
          <w:szCs w:val="28"/>
          <w:lang w:val="en-US"/>
        </w:rPr>
        <w:t xml:space="preserve">2. We therefore demand that discussion should be held with AIBRF for negotiation and finalizing provisions of </w:t>
      </w:r>
      <w:proofErr w:type="spellStart"/>
      <w:r>
        <w:rPr>
          <w:rFonts w:ascii="Thorndale" w:hAnsi="Thorndale" w:cs="Thorndale"/>
          <w:b/>
          <w:iCs w:val="0"/>
          <w:color w:val="auto"/>
          <w:sz w:val="28"/>
          <w:szCs w:val="28"/>
          <w:lang w:val="en-US"/>
        </w:rPr>
        <w:t>Updation</w:t>
      </w:r>
      <w:proofErr w:type="spellEnd"/>
      <w:r>
        <w:rPr>
          <w:rFonts w:ascii="Thorndale" w:hAnsi="Thorndale" w:cs="Thorndale"/>
          <w:b/>
          <w:iCs w:val="0"/>
          <w:color w:val="auto"/>
          <w:sz w:val="28"/>
          <w:szCs w:val="28"/>
          <w:lang w:val="en-US"/>
        </w:rPr>
        <w:t xml:space="preserve"> scheme as provided in Para 12 of 1993 and as per the observations/ directions of Honorable Punjab &amp; Haryana High Court.</w:t>
      </w: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p>
    <w:p w:rsidR="00D0155F" w:rsidRDefault="00D0155F" w:rsidP="00D0155F">
      <w:pPr>
        <w:autoSpaceDE w:val="0"/>
        <w:autoSpaceDN w:val="0"/>
        <w:adjustRightInd w:val="0"/>
        <w:ind w:left="300"/>
        <w:jc w:val="both"/>
        <w:rPr>
          <w:rFonts w:ascii="Thorndale" w:hAnsi="Thorndale" w:cs="Thorndale"/>
          <w:b/>
          <w:iCs w:val="0"/>
          <w:color w:val="auto"/>
          <w:sz w:val="28"/>
          <w:szCs w:val="28"/>
          <w:lang w:val="en-US"/>
        </w:rPr>
      </w:pPr>
      <w:r>
        <w:rPr>
          <w:rFonts w:ascii="Thorndale" w:hAnsi="Thorndale" w:cs="Thorndale"/>
          <w:b/>
          <w:iCs w:val="0"/>
          <w:color w:val="auto"/>
          <w:sz w:val="28"/>
          <w:szCs w:val="28"/>
          <w:lang w:val="en-US"/>
        </w:rPr>
        <w:t xml:space="preserve">                   With Regards    </w:t>
      </w:r>
    </w:p>
    <w:p w:rsidR="00D0155F" w:rsidRDefault="00D0155F" w:rsidP="00D0155F">
      <w:pPr>
        <w:ind w:left="300" w:right="81"/>
        <w:jc w:val="both"/>
        <w:rPr>
          <w:rFonts w:ascii="Verdana" w:hAnsi="Verdana"/>
          <w:b/>
          <w:sz w:val="21"/>
          <w:szCs w:val="21"/>
          <w:u w:val="single"/>
        </w:rPr>
      </w:pPr>
    </w:p>
    <w:p w:rsidR="00D0155F" w:rsidRDefault="00D0155F" w:rsidP="00D0155F">
      <w:pPr>
        <w:ind w:right="81"/>
        <w:rPr>
          <w:rFonts w:ascii="Verdana" w:hAnsi="Verdana"/>
          <w:b/>
          <w:sz w:val="21"/>
          <w:szCs w:val="21"/>
        </w:rPr>
      </w:pPr>
      <w:r>
        <w:rPr>
          <w:rFonts w:ascii="Verdana" w:hAnsi="Verdana"/>
          <w:b/>
          <w:sz w:val="21"/>
          <w:szCs w:val="21"/>
        </w:rPr>
        <w:t xml:space="preserve">   </w:t>
      </w:r>
    </w:p>
    <w:p w:rsidR="00D0155F" w:rsidRDefault="00D0155F" w:rsidP="00D0155F">
      <w:pPr>
        <w:ind w:right="81"/>
        <w:rPr>
          <w:rFonts w:ascii="Verdana" w:hAnsi="Verdana"/>
          <w:b/>
          <w:sz w:val="21"/>
          <w:szCs w:val="21"/>
        </w:rPr>
      </w:pPr>
      <w:r>
        <w:rPr>
          <w:rFonts w:ascii="Verdana" w:hAnsi="Verdana"/>
          <w:b/>
          <w:sz w:val="21"/>
          <w:szCs w:val="21"/>
        </w:rPr>
        <w:t xml:space="preserve">    </w:t>
      </w:r>
    </w:p>
    <w:p w:rsidR="00D0155F" w:rsidRDefault="00D0155F" w:rsidP="00D0155F">
      <w:pPr>
        <w:ind w:left="300" w:right="81" w:firstLine="300"/>
        <w:jc w:val="both"/>
        <w:rPr>
          <w:rFonts w:ascii="Verdana" w:hAnsi="Verdana"/>
          <w:b/>
          <w:sz w:val="21"/>
          <w:szCs w:val="21"/>
        </w:rPr>
      </w:pPr>
      <w:r>
        <w:rPr>
          <w:rFonts w:ascii="Verdana" w:hAnsi="Verdana"/>
          <w:b/>
          <w:sz w:val="21"/>
          <w:szCs w:val="21"/>
        </w:rPr>
        <w:t>.</w:t>
      </w:r>
    </w:p>
    <w:p w:rsidR="00D0155F" w:rsidRDefault="00D0155F" w:rsidP="00D0155F">
      <w:pPr>
        <w:ind w:right="81"/>
        <w:rPr>
          <w:rFonts w:ascii="Verdana" w:hAnsi="Verdana"/>
          <w:b/>
          <w:sz w:val="21"/>
          <w:szCs w:val="21"/>
        </w:rPr>
      </w:pPr>
      <w:r>
        <w:rPr>
          <w:rFonts w:ascii="Verdana" w:hAnsi="Verdana"/>
          <w:b/>
          <w:sz w:val="21"/>
          <w:szCs w:val="21"/>
        </w:rPr>
        <w:t xml:space="preserve">    </w:t>
      </w:r>
      <w:r>
        <w:rPr>
          <w:noProof/>
          <w:lang w:val="en-US"/>
        </w:rPr>
        <w:drawing>
          <wp:anchor distT="0" distB="0" distL="114300" distR="114300" simplePos="0" relativeHeight="251656704" behindDoc="1" locked="0" layoutInCell="1" allowOverlap="1">
            <wp:simplePos x="0" y="0"/>
            <wp:positionH relativeFrom="column">
              <wp:posOffset>2982595</wp:posOffset>
            </wp:positionH>
            <wp:positionV relativeFrom="paragraph">
              <wp:posOffset>146050</wp:posOffset>
            </wp:positionV>
            <wp:extent cx="1949450" cy="727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49450" cy="727710"/>
                    </a:xfrm>
                    <a:prstGeom prst="rect">
                      <a:avLst/>
                    </a:prstGeom>
                    <a:noFill/>
                  </pic:spPr>
                </pic:pic>
              </a:graphicData>
            </a:graphic>
          </wp:anchor>
        </w:drawing>
      </w:r>
      <w:r>
        <w:rPr>
          <w:rFonts w:ascii="Verdana" w:hAnsi="Verdana"/>
          <w:b/>
          <w:sz w:val="21"/>
          <w:szCs w:val="21"/>
        </w:rPr>
        <w:t xml:space="preserve">                                                                   Yours Sincerely,</w:t>
      </w: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
    <w:p w:rsidR="00D0155F" w:rsidRDefault="00D0155F" w:rsidP="00D0155F">
      <w:pPr>
        <w:ind w:left="270" w:right="81" w:firstLine="30"/>
        <w:jc w:val="both"/>
        <w:rPr>
          <w:rFonts w:ascii="Verdana" w:hAnsi="Verdana"/>
          <w:b/>
          <w:sz w:val="21"/>
          <w:szCs w:val="21"/>
        </w:rPr>
      </w:pPr>
    </w:p>
    <w:p w:rsidR="00D0155F" w:rsidRDefault="00D0155F" w:rsidP="00D0155F">
      <w:pPr>
        <w:ind w:left="270" w:right="81" w:firstLine="30"/>
        <w:jc w:val="both"/>
        <w:rPr>
          <w:rFonts w:ascii="Verdana" w:hAnsi="Verdana"/>
          <w:b/>
          <w:sz w:val="21"/>
          <w:szCs w:val="21"/>
        </w:rPr>
      </w:pP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roofErr w:type="gramStart"/>
      <w:r>
        <w:rPr>
          <w:rFonts w:ascii="Verdana" w:hAnsi="Verdana"/>
          <w:b/>
          <w:sz w:val="21"/>
          <w:szCs w:val="21"/>
        </w:rPr>
        <w:t>( S.C.JAIN</w:t>
      </w:r>
      <w:proofErr w:type="gramEnd"/>
      <w:r>
        <w:rPr>
          <w:rFonts w:ascii="Verdana" w:hAnsi="Verdana"/>
          <w:b/>
          <w:sz w:val="21"/>
          <w:szCs w:val="21"/>
        </w:rPr>
        <w:t>)</w:t>
      </w: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GENERAL SECRETARY</w:t>
      </w:r>
    </w:p>
    <w:p w:rsidR="00D0155F" w:rsidRDefault="00D0155F" w:rsidP="00D0155F">
      <w:pPr>
        <w:ind w:left="270" w:right="81" w:firstLine="30"/>
        <w:jc w:val="both"/>
        <w:rPr>
          <w:rFonts w:ascii="Verdana" w:hAnsi="Verdana"/>
          <w:b/>
          <w:sz w:val="21"/>
          <w:szCs w:val="21"/>
        </w:rPr>
      </w:pPr>
      <w:r>
        <w:rPr>
          <w:rFonts w:ascii="Verdana" w:hAnsi="Verdana"/>
          <w:b/>
          <w:sz w:val="21"/>
          <w:szCs w:val="21"/>
        </w:rPr>
        <w:lastRenderedPageBreak/>
        <w:t>C.C.to Deputy Labour Commissioner (Central)</w:t>
      </w: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roofErr w:type="gramStart"/>
      <w:r>
        <w:rPr>
          <w:rFonts w:ascii="Verdana" w:hAnsi="Verdana"/>
          <w:b/>
          <w:sz w:val="21"/>
          <w:szCs w:val="21"/>
        </w:rPr>
        <w:t>Mumbai.</w:t>
      </w:r>
      <w:proofErr w:type="gramEnd"/>
    </w:p>
    <w:p w:rsidR="00D0155F" w:rsidRDefault="00D0155F" w:rsidP="00D0155F">
      <w:pPr>
        <w:ind w:left="270" w:right="81" w:firstLine="30"/>
        <w:jc w:val="both"/>
        <w:rPr>
          <w:rFonts w:ascii="Verdana" w:hAnsi="Verdana"/>
          <w:b/>
          <w:sz w:val="21"/>
          <w:szCs w:val="21"/>
        </w:rPr>
      </w:pPr>
    </w:p>
    <w:p w:rsidR="00D0155F" w:rsidRDefault="00D0155F" w:rsidP="00D0155F">
      <w:pPr>
        <w:ind w:left="270" w:right="81" w:firstLine="30"/>
        <w:jc w:val="both"/>
        <w:rPr>
          <w:rFonts w:ascii="Verdana" w:hAnsi="Verdana"/>
          <w:b/>
          <w:sz w:val="21"/>
          <w:szCs w:val="21"/>
        </w:rPr>
      </w:pPr>
    </w:p>
    <w:p w:rsidR="00D0155F" w:rsidRDefault="00D0155F" w:rsidP="00D0155F">
      <w:pPr>
        <w:ind w:left="270" w:right="81" w:firstLine="30"/>
        <w:jc w:val="both"/>
        <w:rPr>
          <w:rFonts w:ascii="Verdana" w:hAnsi="Verdana"/>
          <w:b/>
          <w:sz w:val="21"/>
          <w:szCs w:val="21"/>
        </w:rPr>
      </w:pPr>
    </w:p>
    <w:p w:rsidR="00D0155F" w:rsidRDefault="00D0155F" w:rsidP="00D0155F">
      <w:pPr>
        <w:ind w:left="270" w:right="81" w:firstLine="30"/>
        <w:jc w:val="both"/>
        <w:rPr>
          <w:rFonts w:ascii="Verdana" w:hAnsi="Verdana"/>
          <w:b/>
          <w:sz w:val="21"/>
          <w:szCs w:val="21"/>
        </w:rPr>
      </w:pP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
    <w:p w:rsidR="00B833CB" w:rsidRDefault="00B833CB"/>
    <w:sectPr w:rsidR="00B833CB" w:rsidSect="00B83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hornda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155F"/>
    <w:rsid w:val="00270425"/>
    <w:rsid w:val="00341340"/>
    <w:rsid w:val="005D51B7"/>
    <w:rsid w:val="00742C35"/>
    <w:rsid w:val="00807DE5"/>
    <w:rsid w:val="009730C4"/>
    <w:rsid w:val="00B833CB"/>
    <w:rsid w:val="00BC74B3"/>
    <w:rsid w:val="00CF2E71"/>
    <w:rsid w:val="00D0155F"/>
    <w:rsid w:val="00DF3288"/>
    <w:rsid w:val="00ED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2018-01-11T06:47:00Z</dcterms:created>
  <dcterms:modified xsi:type="dcterms:W3CDTF">2018-05-25T06:29:00Z</dcterms:modified>
</cp:coreProperties>
</file>